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29142C98" w:rsidR="00534537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Pr="00A67932">
        <w:rPr>
          <w:b/>
          <w:bCs/>
          <w:sz w:val="28"/>
          <w:szCs w:val="28"/>
          <w:lang w:val="uk-UA"/>
        </w:rPr>
        <w:t>«</w:t>
      </w:r>
      <w:proofErr w:type="gramEnd"/>
      <w:r w:rsidR="00403196">
        <w:rPr>
          <w:b/>
          <w:bCs/>
          <w:sz w:val="28"/>
          <w:szCs w:val="28"/>
          <w:lang w:val="uk-UA"/>
        </w:rPr>
        <w:t>МЕТАЛЕВІ КОНСТРУКЦІЇ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5897B062" w14:textId="77777777" w:rsidR="00EC0ABB" w:rsidRPr="00EC0ABB" w:rsidRDefault="00EC0ABB" w:rsidP="00EC0ABB">
      <w:pPr>
        <w:pStyle w:val="Default"/>
        <w:jc w:val="center"/>
        <w:rPr>
          <w:b/>
          <w:bCs/>
          <w:sz w:val="28"/>
          <w:szCs w:val="28"/>
        </w:rPr>
      </w:pPr>
      <w:r w:rsidRPr="00EC0ABB">
        <w:rPr>
          <w:b/>
          <w:bCs/>
          <w:sz w:val="28"/>
          <w:szCs w:val="28"/>
        </w:rPr>
        <w:t>Повинен знати:</w:t>
      </w:r>
    </w:p>
    <w:p w14:paraId="4E5675D8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основні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властивості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конструкційних</w:t>
      </w:r>
      <w:proofErr w:type="spellEnd"/>
      <w:r w:rsidRPr="00EC0ABB">
        <w:rPr>
          <w:sz w:val="28"/>
          <w:szCs w:val="28"/>
        </w:rPr>
        <w:t xml:space="preserve"> сталей та </w:t>
      </w:r>
      <w:proofErr w:type="spellStart"/>
      <w:r w:rsidRPr="00EC0ABB">
        <w:rPr>
          <w:sz w:val="28"/>
          <w:szCs w:val="28"/>
        </w:rPr>
        <w:t>сплавів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які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застосовуються</w:t>
      </w:r>
      <w:proofErr w:type="spellEnd"/>
      <w:r w:rsidRPr="00EC0ABB">
        <w:rPr>
          <w:sz w:val="28"/>
          <w:szCs w:val="28"/>
        </w:rPr>
        <w:t xml:space="preserve"> у </w:t>
      </w:r>
      <w:proofErr w:type="spellStart"/>
      <w:r w:rsidRPr="00EC0ABB">
        <w:rPr>
          <w:sz w:val="28"/>
          <w:szCs w:val="28"/>
        </w:rPr>
        <w:t>будівництві</w:t>
      </w:r>
      <w:proofErr w:type="spellEnd"/>
      <w:r w:rsidRPr="00EC0ABB">
        <w:rPr>
          <w:sz w:val="28"/>
          <w:szCs w:val="28"/>
        </w:rPr>
        <w:t>;</w:t>
      </w:r>
    </w:p>
    <w:p w14:paraId="65F3BBEE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класифікацію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металевих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 xml:space="preserve"> (балки, колони, ферми, рами, </w:t>
      </w:r>
      <w:proofErr w:type="spellStart"/>
      <w:r w:rsidRPr="00EC0ABB">
        <w:rPr>
          <w:sz w:val="28"/>
          <w:szCs w:val="28"/>
        </w:rPr>
        <w:t>зв’язки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тощо</w:t>
      </w:r>
      <w:proofErr w:type="spellEnd"/>
      <w:r w:rsidRPr="00EC0ABB">
        <w:rPr>
          <w:sz w:val="28"/>
          <w:szCs w:val="28"/>
        </w:rPr>
        <w:t xml:space="preserve">) та </w:t>
      </w:r>
      <w:proofErr w:type="spellStart"/>
      <w:r w:rsidRPr="00EC0ABB">
        <w:rPr>
          <w:sz w:val="28"/>
          <w:szCs w:val="28"/>
        </w:rPr>
        <w:t>сфери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їх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використання</w:t>
      </w:r>
      <w:proofErr w:type="spellEnd"/>
      <w:r w:rsidRPr="00EC0ABB">
        <w:rPr>
          <w:sz w:val="28"/>
          <w:szCs w:val="28"/>
        </w:rPr>
        <w:t>;</w:t>
      </w:r>
    </w:p>
    <w:p w14:paraId="527D78D8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принципи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роботи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елементів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 xml:space="preserve"> при </w:t>
      </w:r>
      <w:proofErr w:type="spellStart"/>
      <w:r w:rsidRPr="00EC0ABB">
        <w:rPr>
          <w:sz w:val="28"/>
          <w:szCs w:val="28"/>
        </w:rPr>
        <w:t>різних</w:t>
      </w:r>
      <w:proofErr w:type="spellEnd"/>
      <w:r w:rsidRPr="00EC0ABB">
        <w:rPr>
          <w:sz w:val="28"/>
          <w:szCs w:val="28"/>
        </w:rPr>
        <w:t xml:space="preserve"> видах </w:t>
      </w:r>
      <w:proofErr w:type="spellStart"/>
      <w:r w:rsidRPr="00EC0ABB">
        <w:rPr>
          <w:sz w:val="28"/>
          <w:szCs w:val="28"/>
        </w:rPr>
        <w:t>навантаження</w:t>
      </w:r>
      <w:proofErr w:type="spellEnd"/>
      <w:r w:rsidRPr="00EC0ABB">
        <w:rPr>
          <w:sz w:val="28"/>
          <w:szCs w:val="28"/>
        </w:rPr>
        <w:t xml:space="preserve"> (</w:t>
      </w:r>
      <w:proofErr w:type="spellStart"/>
      <w:r w:rsidRPr="00EC0ABB">
        <w:rPr>
          <w:sz w:val="28"/>
          <w:szCs w:val="28"/>
        </w:rPr>
        <w:t>розтяг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стиск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згин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кручення</w:t>
      </w:r>
      <w:proofErr w:type="spellEnd"/>
      <w:r w:rsidRPr="00EC0ABB">
        <w:rPr>
          <w:sz w:val="28"/>
          <w:szCs w:val="28"/>
        </w:rPr>
        <w:t>);</w:t>
      </w:r>
    </w:p>
    <w:p w14:paraId="3291D913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методи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розрахунку</w:t>
      </w:r>
      <w:proofErr w:type="spellEnd"/>
      <w:r w:rsidRPr="00EC0ABB">
        <w:rPr>
          <w:sz w:val="28"/>
          <w:szCs w:val="28"/>
        </w:rPr>
        <w:t xml:space="preserve"> та </w:t>
      </w:r>
      <w:proofErr w:type="spellStart"/>
      <w:r w:rsidRPr="00EC0ABB">
        <w:rPr>
          <w:sz w:val="28"/>
          <w:szCs w:val="28"/>
        </w:rPr>
        <w:t>перевірки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міцності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стійкості</w:t>
      </w:r>
      <w:proofErr w:type="spellEnd"/>
      <w:r w:rsidRPr="00EC0ABB">
        <w:rPr>
          <w:sz w:val="28"/>
          <w:szCs w:val="28"/>
        </w:rPr>
        <w:t xml:space="preserve"> й </w:t>
      </w:r>
      <w:proofErr w:type="spellStart"/>
      <w:r w:rsidRPr="00EC0ABB">
        <w:rPr>
          <w:sz w:val="28"/>
          <w:szCs w:val="28"/>
        </w:rPr>
        <w:t>жорсткості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елементів</w:t>
      </w:r>
      <w:proofErr w:type="spellEnd"/>
      <w:r w:rsidRPr="00EC0ABB">
        <w:rPr>
          <w:sz w:val="28"/>
          <w:szCs w:val="28"/>
        </w:rPr>
        <w:t>;</w:t>
      </w:r>
    </w:p>
    <w:p w14:paraId="2041893E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основи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з’єднання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елементів</w:t>
      </w:r>
      <w:proofErr w:type="spellEnd"/>
      <w:r w:rsidRPr="00EC0ABB">
        <w:rPr>
          <w:sz w:val="28"/>
          <w:szCs w:val="28"/>
        </w:rPr>
        <w:t xml:space="preserve"> (</w:t>
      </w:r>
      <w:proofErr w:type="spellStart"/>
      <w:r w:rsidRPr="00EC0ABB">
        <w:rPr>
          <w:sz w:val="28"/>
          <w:szCs w:val="28"/>
        </w:rPr>
        <w:t>зварні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болтові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заклепкові</w:t>
      </w:r>
      <w:proofErr w:type="spellEnd"/>
      <w:r w:rsidRPr="00EC0ABB">
        <w:rPr>
          <w:sz w:val="28"/>
          <w:szCs w:val="28"/>
        </w:rPr>
        <w:t>);</w:t>
      </w:r>
    </w:p>
    <w:p w14:paraId="0D3AD31D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0ABB">
        <w:rPr>
          <w:sz w:val="28"/>
          <w:szCs w:val="28"/>
        </w:rPr>
        <w:t xml:space="preserve">правила </w:t>
      </w:r>
      <w:proofErr w:type="spellStart"/>
      <w:r w:rsidRPr="00EC0ABB">
        <w:rPr>
          <w:sz w:val="28"/>
          <w:szCs w:val="28"/>
        </w:rPr>
        <w:t>розрахунку</w:t>
      </w:r>
      <w:proofErr w:type="spellEnd"/>
      <w:r w:rsidRPr="00EC0ABB">
        <w:rPr>
          <w:sz w:val="28"/>
          <w:szCs w:val="28"/>
        </w:rPr>
        <w:t xml:space="preserve"> та </w:t>
      </w:r>
      <w:proofErr w:type="spellStart"/>
      <w:r w:rsidRPr="00EC0ABB">
        <w:rPr>
          <w:sz w:val="28"/>
          <w:szCs w:val="28"/>
        </w:rPr>
        <w:t>проєктування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вузлів</w:t>
      </w:r>
      <w:proofErr w:type="spellEnd"/>
      <w:r w:rsidRPr="00EC0ABB">
        <w:rPr>
          <w:sz w:val="28"/>
          <w:szCs w:val="28"/>
        </w:rPr>
        <w:t>;</w:t>
      </w:r>
    </w:p>
    <w:p w14:paraId="24C1ACDE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вимоги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будівельних</w:t>
      </w:r>
      <w:proofErr w:type="spellEnd"/>
      <w:r w:rsidRPr="00EC0ABB">
        <w:rPr>
          <w:sz w:val="28"/>
          <w:szCs w:val="28"/>
        </w:rPr>
        <w:t xml:space="preserve"> норм і </w:t>
      </w:r>
      <w:proofErr w:type="spellStart"/>
      <w:r w:rsidRPr="00EC0ABB">
        <w:rPr>
          <w:sz w:val="28"/>
          <w:szCs w:val="28"/>
        </w:rPr>
        <w:t>стандартів</w:t>
      </w:r>
      <w:proofErr w:type="spellEnd"/>
      <w:r w:rsidRPr="00EC0ABB">
        <w:rPr>
          <w:sz w:val="28"/>
          <w:szCs w:val="28"/>
        </w:rPr>
        <w:t xml:space="preserve"> (ДБН, </w:t>
      </w:r>
      <w:proofErr w:type="spellStart"/>
      <w:r w:rsidRPr="00EC0ABB">
        <w:rPr>
          <w:sz w:val="28"/>
          <w:szCs w:val="28"/>
        </w:rPr>
        <w:t>Єврокоди</w:t>
      </w:r>
      <w:proofErr w:type="spellEnd"/>
      <w:r w:rsidRPr="00EC0ABB">
        <w:rPr>
          <w:sz w:val="28"/>
          <w:szCs w:val="28"/>
        </w:rPr>
        <w:t xml:space="preserve">) </w:t>
      </w:r>
      <w:proofErr w:type="spellStart"/>
      <w:r w:rsidRPr="00EC0ABB">
        <w:rPr>
          <w:sz w:val="28"/>
          <w:szCs w:val="28"/>
        </w:rPr>
        <w:t>щодо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проєктування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металевих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>;</w:t>
      </w:r>
    </w:p>
    <w:p w14:paraId="3511965E" w14:textId="77777777" w:rsidR="00EC0ABB" w:rsidRPr="00EC0ABB" w:rsidRDefault="00EC0ABB" w:rsidP="00EC0ABB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C0ABB">
        <w:rPr>
          <w:sz w:val="28"/>
          <w:szCs w:val="28"/>
        </w:rPr>
        <w:t xml:space="preserve">заходи </w:t>
      </w:r>
      <w:proofErr w:type="spellStart"/>
      <w:r w:rsidRPr="00EC0ABB">
        <w:rPr>
          <w:sz w:val="28"/>
          <w:szCs w:val="28"/>
        </w:rPr>
        <w:t>забезпечення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довговічності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 xml:space="preserve"> (</w:t>
      </w:r>
      <w:proofErr w:type="spellStart"/>
      <w:r w:rsidRPr="00EC0ABB">
        <w:rPr>
          <w:sz w:val="28"/>
          <w:szCs w:val="28"/>
        </w:rPr>
        <w:t>антикорозійний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захист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вогнезахист</w:t>
      </w:r>
      <w:proofErr w:type="spellEnd"/>
      <w:r w:rsidRPr="00EC0ABB">
        <w:rPr>
          <w:sz w:val="28"/>
          <w:szCs w:val="28"/>
        </w:rPr>
        <w:t>).</w:t>
      </w:r>
    </w:p>
    <w:p w14:paraId="7EC26631" w14:textId="77777777" w:rsidR="00EC0ABB" w:rsidRPr="00EC0ABB" w:rsidRDefault="00557525" w:rsidP="00EC0ABB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pict w14:anchorId="7CEAD91A">
          <v:rect id="_x0000_i1025" style="width:0;height:1.5pt" o:hrstd="t" o:hr="t" fillcolor="#a0a0a0" stroked="f"/>
        </w:pict>
      </w:r>
    </w:p>
    <w:p w14:paraId="02D76209" w14:textId="5B3D552B" w:rsidR="00EC0ABB" w:rsidRPr="00EC0ABB" w:rsidRDefault="00EC0ABB" w:rsidP="00EC0ABB">
      <w:pPr>
        <w:pStyle w:val="Default"/>
        <w:jc w:val="center"/>
        <w:rPr>
          <w:b/>
          <w:bCs/>
          <w:sz w:val="28"/>
          <w:szCs w:val="28"/>
        </w:rPr>
      </w:pPr>
      <w:r w:rsidRPr="00EC0ABB">
        <w:rPr>
          <w:b/>
          <w:bCs/>
          <w:sz w:val="28"/>
          <w:szCs w:val="28"/>
        </w:rPr>
        <w:t xml:space="preserve">Повинен </w:t>
      </w:r>
      <w:proofErr w:type="spellStart"/>
      <w:r w:rsidRPr="00EC0ABB">
        <w:rPr>
          <w:b/>
          <w:bCs/>
          <w:sz w:val="28"/>
          <w:szCs w:val="28"/>
        </w:rPr>
        <w:t>уміти</w:t>
      </w:r>
      <w:proofErr w:type="spellEnd"/>
      <w:r w:rsidRPr="00EC0ABB">
        <w:rPr>
          <w:b/>
          <w:bCs/>
          <w:sz w:val="28"/>
          <w:szCs w:val="28"/>
        </w:rPr>
        <w:t>:</w:t>
      </w:r>
    </w:p>
    <w:p w14:paraId="1BD8AD0B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виконувати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статичні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розрахунки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простих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металевих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>;</w:t>
      </w:r>
    </w:p>
    <w:p w14:paraId="62733432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підбирати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перерізи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елементів</w:t>
      </w:r>
      <w:proofErr w:type="spellEnd"/>
      <w:r w:rsidRPr="00EC0ABB">
        <w:rPr>
          <w:sz w:val="28"/>
          <w:szCs w:val="28"/>
        </w:rPr>
        <w:t xml:space="preserve"> за </w:t>
      </w:r>
      <w:proofErr w:type="spellStart"/>
      <w:r w:rsidRPr="00EC0ABB">
        <w:rPr>
          <w:sz w:val="28"/>
          <w:szCs w:val="28"/>
        </w:rPr>
        <w:t>умовами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міцності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стійкості</w:t>
      </w:r>
      <w:proofErr w:type="spellEnd"/>
      <w:r w:rsidRPr="00EC0ABB">
        <w:rPr>
          <w:sz w:val="28"/>
          <w:szCs w:val="28"/>
        </w:rPr>
        <w:t xml:space="preserve"> та </w:t>
      </w:r>
      <w:proofErr w:type="spellStart"/>
      <w:r w:rsidRPr="00EC0ABB">
        <w:rPr>
          <w:sz w:val="28"/>
          <w:szCs w:val="28"/>
        </w:rPr>
        <w:t>жорсткості</w:t>
      </w:r>
      <w:proofErr w:type="spellEnd"/>
      <w:r w:rsidRPr="00EC0ABB">
        <w:rPr>
          <w:sz w:val="28"/>
          <w:szCs w:val="28"/>
        </w:rPr>
        <w:t>;</w:t>
      </w:r>
    </w:p>
    <w:p w14:paraId="78A651A7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виконувати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розрахунки</w:t>
      </w:r>
      <w:proofErr w:type="spellEnd"/>
      <w:r w:rsidRPr="00EC0ABB">
        <w:rPr>
          <w:sz w:val="28"/>
          <w:szCs w:val="28"/>
        </w:rPr>
        <w:t xml:space="preserve"> та </w:t>
      </w:r>
      <w:proofErr w:type="spellStart"/>
      <w:r w:rsidRPr="00EC0ABB">
        <w:rPr>
          <w:sz w:val="28"/>
          <w:szCs w:val="28"/>
        </w:rPr>
        <w:t>ескізи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вузлів</w:t>
      </w:r>
      <w:proofErr w:type="spellEnd"/>
      <w:r w:rsidRPr="00EC0ABB">
        <w:rPr>
          <w:sz w:val="28"/>
          <w:szCs w:val="28"/>
        </w:rPr>
        <w:t xml:space="preserve"> (</w:t>
      </w:r>
      <w:proofErr w:type="spellStart"/>
      <w:r w:rsidRPr="00EC0ABB">
        <w:rPr>
          <w:sz w:val="28"/>
          <w:szCs w:val="28"/>
        </w:rPr>
        <w:t>зварних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болтових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тощо</w:t>
      </w:r>
      <w:proofErr w:type="spellEnd"/>
      <w:r w:rsidRPr="00EC0ABB">
        <w:rPr>
          <w:sz w:val="28"/>
          <w:szCs w:val="28"/>
        </w:rPr>
        <w:t>);</w:t>
      </w:r>
    </w:p>
    <w:p w14:paraId="1F977EAA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користуватися</w:t>
      </w:r>
      <w:proofErr w:type="spellEnd"/>
      <w:r w:rsidRPr="00EC0ABB">
        <w:rPr>
          <w:sz w:val="28"/>
          <w:szCs w:val="28"/>
        </w:rPr>
        <w:t xml:space="preserve"> нормативною </w:t>
      </w:r>
      <w:proofErr w:type="spellStart"/>
      <w:r w:rsidRPr="00EC0ABB">
        <w:rPr>
          <w:sz w:val="28"/>
          <w:szCs w:val="28"/>
        </w:rPr>
        <w:t>літературою</w:t>
      </w:r>
      <w:proofErr w:type="spellEnd"/>
      <w:r w:rsidRPr="00EC0ABB">
        <w:rPr>
          <w:sz w:val="28"/>
          <w:szCs w:val="28"/>
        </w:rPr>
        <w:t xml:space="preserve"> для </w:t>
      </w:r>
      <w:proofErr w:type="spellStart"/>
      <w:r w:rsidRPr="00EC0ABB">
        <w:rPr>
          <w:sz w:val="28"/>
          <w:szCs w:val="28"/>
        </w:rPr>
        <w:t>проєктування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>;</w:t>
      </w:r>
    </w:p>
    <w:p w14:paraId="11E2F124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читати</w:t>
      </w:r>
      <w:proofErr w:type="spellEnd"/>
      <w:r w:rsidRPr="00EC0ABB">
        <w:rPr>
          <w:sz w:val="28"/>
          <w:szCs w:val="28"/>
        </w:rPr>
        <w:t xml:space="preserve"> й </w:t>
      </w:r>
      <w:proofErr w:type="spellStart"/>
      <w:r w:rsidRPr="00EC0ABB">
        <w:rPr>
          <w:sz w:val="28"/>
          <w:szCs w:val="28"/>
        </w:rPr>
        <w:t>складати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креслення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металевих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конструкцій</w:t>
      </w:r>
      <w:proofErr w:type="spellEnd"/>
      <w:r w:rsidRPr="00EC0ABB">
        <w:rPr>
          <w:sz w:val="28"/>
          <w:szCs w:val="28"/>
        </w:rPr>
        <w:t xml:space="preserve"> та </w:t>
      </w:r>
      <w:proofErr w:type="spellStart"/>
      <w:r w:rsidRPr="00EC0ABB">
        <w:rPr>
          <w:sz w:val="28"/>
          <w:szCs w:val="28"/>
        </w:rPr>
        <w:t>вузлів</w:t>
      </w:r>
      <w:proofErr w:type="spellEnd"/>
      <w:r w:rsidRPr="00EC0ABB">
        <w:rPr>
          <w:sz w:val="28"/>
          <w:szCs w:val="28"/>
        </w:rPr>
        <w:t>;</w:t>
      </w:r>
    </w:p>
    <w:p w14:paraId="4A499A17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обґрунтовувати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вибір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раціональної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конструктивної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схеми</w:t>
      </w:r>
      <w:proofErr w:type="spellEnd"/>
      <w:r w:rsidRPr="00EC0ABB">
        <w:rPr>
          <w:sz w:val="28"/>
          <w:szCs w:val="28"/>
        </w:rPr>
        <w:t>;</w:t>
      </w:r>
    </w:p>
    <w:p w14:paraId="04A93E0C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враховувати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вплив</w:t>
      </w:r>
      <w:proofErr w:type="spellEnd"/>
      <w:r w:rsidRPr="00EC0ABB">
        <w:rPr>
          <w:sz w:val="28"/>
          <w:szCs w:val="28"/>
        </w:rPr>
        <w:t xml:space="preserve"> умов </w:t>
      </w:r>
      <w:proofErr w:type="spellStart"/>
      <w:r w:rsidRPr="00EC0ABB">
        <w:rPr>
          <w:sz w:val="28"/>
          <w:szCs w:val="28"/>
        </w:rPr>
        <w:t>експлуатації</w:t>
      </w:r>
      <w:proofErr w:type="spellEnd"/>
      <w:r w:rsidRPr="00EC0ABB">
        <w:rPr>
          <w:sz w:val="28"/>
          <w:szCs w:val="28"/>
        </w:rPr>
        <w:t xml:space="preserve"> (</w:t>
      </w:r>
      <w:proofErr w:type="spellStart"/>
      <w:r w:rsidRPr="00EC0ABB">
        <w:rPr>
          <w:sz w:val="28"/>
          <w:szCs w:val="28"/>
        </w:rPr>
        <w:t>корозія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пожежа</w:t>
      </w:r>
      <w:proofErr w:type="spellEnd"/>
      <w:r w:rsidRPr="00EC0ABB">
        <w:rPr>
          <w:sz w:val="28"/>
          <w:szCs w:val="28"/>
        </w:rPr>
        <w:t xml:space="preserve">, </w:t>
      </w:r>
      <w:proofErr w:type="spellStart"/>
      <w:r w:rsidRPr="00EC0ABB">
        <w:rPr>
          <w:sz w:val="28"/>
          <w:szCs w:val="28"/>
        </w:rPr>
        <w:t>агресивне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середовище</w:t>
      </w:r>
      <w:proofErr w:type="spellEnd"/>
      <w:r w:rsidRPr="00EC0ABB">
        <w:rPr>
          <w:sz w:val="28"/>
          <w:szCs w:val="28"/>
        </w:rPr>
        <w:t>);</w:t>
      </w:r>
    </w:p>
    <w:p w14:paraId="6BBE1618" w14:textId="77777777" w:rsidR="00EC0ABB" w:rsidRPr="00EC0ABB" w:rsidRDefault="00EC0ABB" w:rsidP="00EC0ABB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EC0ABB">
        <w:rPr>
          <w:sz w:val="28"/>
          <w:szCs w:val="28"/>
        </w:rPr>
        <w:t>застосовувати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знання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під</w:t>
      </w:r>
      <w:proofErr w:type="spellEnd"/>
      <w:r w:rsidRPr="00EC0ABB">
        <w:rPr>
          <w:sz w:val="28"/>
          <w:szCs w:val="28"/>
        </w:rPr>
        <w:t xml:space="preserve"> час </w:t>
      </w:r>
      <w:proofErr w:type="spellStart"/>
      <w:r w:rsidRPr="00EC0ABB">
        <w:rPr>
          <w:sz w:val="28"/>
          <w:szCs w:val="28"/>
        </w:rPr>
        <w:t>курсових</w:t>
      </w:r>
      <w:proofErr w:type="spellEnd"/>
      <w:r w:rsidRPr="00EC0ABB">
        <w:rPr>
          <w:sz w:val="28"/>
          <w:szCs w:val="28"/>
        </w:rPr>
        <w:t xml:space="preserve"> і </w:t>
      </w:r>
      <w:proofErr w:type="spellStart"/>
      <w:r w:rsidRPr="00EC0ABB">
        <w:rPr>
          <w:sz w:val="28"/>
          <w:szCs w:val="28"/>
        </w:rPr>
        <w:t>розрахунково-графічних</w:t>
      </w:r>
      <w:proofErr w:type="spellEnd"/>
      <w:r w:rsidRPr="00EC0ABB">
        <w:rPr>
          <w:sz w:val="28"/>
          <w:szCs w:val="28"/>
        </w:rPr>
        <w:t xml:space="preserve"> </w:t>
      </w:r>
      <w:proofErr w:type="spellStart"/>
      <w:r w:rsidRPr="00EC0ABB">
        <w:rPr>
          <w:sz w:val="28"/>
          <w:szCs w:val="28"/>
        </w:rPr>
        <w:t>робіт</w:t>
      </w:r>
      <w:proofErr w:type="spellEnd"/>
      <w:r w:rsidRPr="00EC0ABB">
        <w:rPr>
          <w:sz w:val="28"/>
          <w:szCs w:val="28"/>
        </w:rPr>
        <w:t>.</w:t>
      </w:r>
    </w:p>
    <w:p w14:paraId="05FF91BF" w14:textId="77777777" w:rsidR="00EC0ABB" w:rsidRPr="00EC0ABB" w:rsidRDefault="00EC0ABB" w:rsidP="00EC0ABB">
      <w:pPr>
        <w:pStyle w:val="Default"/>
        <w:spacing w:line="360" w:lineRule="auto"/>
        <w:rPr>
          <w:sz w:val="28"/>
          <w:szCs w:val="28"/>
        </w:rPr>
      </w:pPr>
    </w:p>
    <w:p w14:paraId="5C89660B" w14:textId="77777777" w:rsidR="00534537" w:rsidRPr="00534537" w:rsidRDefault="00534537" w:rsidP="00534537">
      <w:pPr>
        <w:pStyle w:val="Default"/>
        <w:jc w:val="center"/>
        <w:rPr>
          <w:sz w:val="28"/>
          <w:szCs w:val="28"/>
          <w:lang w:val="uk-UA"/>
        </w:rPr>
      </w:pPr>
    </w:p>
    <w:p w14:paraId="0C0F08CE" w14:textId="06AAD0BB" w:rsidR="00403196" w:rsidRPr="00403196" w:rsidRDefault="00403196" w:rsidP="00403196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При о</w:t>
      </w:r>
      <w:proofErr w:type="spellStart"/>
      <w:r w:rsidR="00534537">
        <w:rPr>
          <w:sz w:val="28"/>
          <w:szCs w:val="28"/>
        </w:rPr>
        <w:t>цінювання</w:t>
      </w:r>
      <w:proofErr w:type="spellEnd"/>
      <w:r w:rsidR="00534537">
        <w:rPr>
          <w:sz w:val="28"/>
          <w:szCs w:val="28"/>
        </w:rPr>
        <w:t xml:space="preserve"> </w:t>
      </w:r>
      <w:proofErr w:type="spellStart"/>
      <w:r w:rsidR="00534537">
        <w:rPr>
          <w:sz w:val="28"/>
          <w:szCs w:val="28"/>
        </w:rPr>
        <w:t>навчальних</w:t>
      </w:r>
      <w:proofErr w:type="spellEnd"/>
      <w:r w:rsidR="00534537">
        <w:rPr>
          <w:sz w:val="28"/>
          <w:szCs w:val="28"/>
        </w:rPr>
        <w:t xml:space="preserve"> </w:t>
      </w:r>
      <w:proofErr w:type="spellStart"/>
      <w:r w:rsidR="00534537">
        <w:rPr>
          <w:sz w:val="28"/>
          <w:szCs w:val="28"/>
        </w:rPr>
        <w:t>досягнень</w:t>
      </w:r>
      <w:proofErr w:type="spellEnd"/>
      <w:r w:rsidR="00534537">
        <w:rPr>
          <w:sz w:val="28"/>
          <w:szCs w:val="28"/>
        </w:rPr>
        <w:t xml:space="preserve"> </w:t>
      </w:r>
      <w:proofErr w:type="spellStart"/>
      <w:r w:rsidR="00534537">
        <w:rPr>
          <w:sz w:val="28"/>
          <w:szCs w:val="28"/>
        </w:rPr>
        <w:t>студентів</w:t>
      </w:r>
      <w:proofErr w:type="spellEnd"/>
      <w:r w:rsidR="00534537"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 xml:space="preserve">предмету «Металеві конструкції» </w:t>
      </w:r>
      <w:proofErr w:type="spellStart"/>
      <w:r w:rsidRPr="00403196">
        <w:rPr>
          <w:b/>
          <w:bCs/>
          <w:sz w:val="28"/>
          <w:szCs w:val="28"/>
        </w:rPr>
        <w:t>враховувати</w:t>
      </w:r>
      <w:proofErr w:type="spellEnd"/>
      <w:r w:rsidRPr="00403196">
        <w:rPr>
          <w:b/>
          <w:bCs/>
          <w:sz w:val="28"/>
          <w:szCs w:val="28"/>
        </w:rPr>
        <w:t>:</w:t>
      </w:r>
    </w:p>
    <w:p w14:paraId="37D17957" w14:textId="7955B312" w:rsidR="00403196" w:rsidRPr="00403196" w:rsidRDefault="00403196" w:rsidP="00403196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403196">
        <w:rPr>
          <w:b/>
          <w:bCs/>
          <w:sz w:val="28"/>
          <w:szCs w:val="28"/>
        </w:rPr>
        <w:t>Теоретичні</w:t>
      </w:r>
      <w:proofErr w:type="spellEnd"/>
      <w:r w:rsidRPr="00403196">
        <w:rPr>
          <w:b/>
          <w:bCs/>
          <w:sz w:val="28"/>
          <w:szCs w:val="28"/>
        </w:rPr>
        <w:t xml:space="preserve"> </w:t>
      </w:r>
      <w:proofErr w:type="spellStart"/>
      <w:r w:rsidRPr="00403196">
        <w:rPr>
          <w:b/>
          <w:bCs/>
          <w:sz w:val="28"/>
          <w:szCs w:val="28"/>
        </w:rPr>
        <w:t>знання</w:t>
      </w:r>
      <w:proofErr w:type="spellEnd"/>
      <w:r w:rsidRPr="00403196">
        <w:rPr>
          <w:sz w:val="28"/>
          <w:szCs w:val="28"/>
        </w:rPr>
        <w:t xml:space="preserve"> – </w:t>
      </w:r>
      <w:proofErr w:type="spellStart"/>
      <w:r w:rsidRPr="00403196">
        <w:rPr>
          <w:sz w:val="28"/>
          <w:szCs w:val="28"/>
        </w:rPr>
        <w:t>знання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основних</w:t>
      </w:r>
      <w:proofErr w:type="spellEnd"/>
      <w:r w:rsidRPr="00403196">
        <w:rPr>
          <w:sz w:val="28"/>
          <w:szCs w:val="28"/>
        </w:rPr>
        <w:t xml:space="preserve"> понять, </w:t>
      </w:r>
      <w:proofErr w:type="spellStart"/>
      <w:r w:rsidRPr="00403196">
        <w:rPr>
          <w:sz w:val="28"/>
          <w:szCs w:val="28"/>
        </w:rPr>
        <w:t>законів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класифікацій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матеріалів</w:t>
      </w:r>
      <w:proofErr w:type="spellEnd"/>
      <w:r w:rsidRPr="004031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письмового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); </w:t>
      </w:r>
    </w:p>
    <w:p w14:paraId="7A28C26A" w14:textId="77777777" w:rsidR="00403196" w:rsidRPr="00403196" w:rsidRDefault="00403196" w:rsidP="00403196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403196">
        <w:rPr>
          <w:b/>
          <w:bCs/>
          <w:sz w:val="28"/>
          <w:szCs w:val="28"/>
        </w:rPr>
        <w:t>Практичні</w:t>
      </w:r>
      <w:proofErr w:type="spellEnd"/>
      <w:r w:rsidRPr="00403196">
        <w:rPr>
          <w:b/>
          <w:bCs/>
          <w:sz w:val="28"/>
          <w:szCs w:val="28"/>
        </w:rPr>
        <w:t xml:space="preserve"> </w:t>
      </w:r>
      <w:proofErr w:type="spellStart"/>
      <w:r w:rsidRPr="00403196">
        <w:rPr>
          <w:b/>
          <w:bCs/>
          <w:sz w:val="28"/>
          <w:szCs w:val="28"/>
        </w:rPr>
        <w:t>навички</w:t>
      </w:r>
      <w:proofErr w:type="spellEnd"/>
      <w:r w:rsidRPr="00403196">
        <w:rPr>
          <w:sz w:val="28"/>
          <w:szCs w:val="28"/>
        </w:rPr>
        <w:t xml:space="preserve"> – </w:t>
      </w:r>
      <w:proofErr w:type="spellStart"/>
      <w:r w:rsidRPr="00403196">
        <w:rPr>
          <w:sz w:val="28"/>
          <w:szCs w:val="28"/>
        </w:rPr>
        <w:t>вміння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виконувати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розрахунки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аналізувати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конструктивні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рішення</w:t>
      </w:r>
      <w:proofErr w:type="spellEnd"/>
      <w:r w:rsidRPr="00403196">
        <w:rPr>
          <w:sz w:val="28"/>
          <w:szCs w:val="28"/>
        </w:rPr>
        <w:t>.</w:t>
      </w:r>
    </w:p>
    <w:p w14:paraId="08B7451D" w14:textId="4A4B5C37" w:rsidR="00403196" w:rsidRPr="00403196" w:rsidRDefault="00403196" w:rsidP="00403196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403196">
        <w:rPr>
          <w:b/>
          <w:bCs/>
          <w:sz w:val="28"/>
          <w:szCs w:val="28"/>
        </w:rPr>
        <w:t>Проєктна</w:t>
      </w:r>
      <w:proofErr w:type="spellEnd"/>
      <w:r w:rsidRPr="00403196">
        <w:rPr>
          <w:b/>
          <w:bCs/>
          <w:sz w:val="28"/>
          <w:szCs w:val="28"/>
        </w:rPr>
        <w:t xml:space="preserve"> робота</w:t>
      </w:r>
      <w:r w:rsidRPr="00403196">
        <w:rPr>
          <w:sz w:val="28"/>
          <w:szCs w:val="28"/>
        </w:rPr>
        <w:t xml:space="preserve"> – </w:t>
      </w:r>
      <w:proofErr w:type="spellStart"/>
      <w:r w:rsidRPr="00403196">
        <w:rPr>
          <w:sz w:val="28"/>
          <w:szCs w:val="28"/>
        </w:rPr>
        <w:t>правильність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обґрунтованість</w:t>
      </w:r>
      <w:proofErr w:type="spellEnd"/>
      <w:r w:rsidRPr="00403196">
        <w:rPr>
          <w:sz w:val="28"/>
          <w:szCs w:val="28"/>
        </w:rPr>
        <w:t xml:space="preserve"> і </w:t>
      </w:r>
      <w:proofErr w:type="spellStart"/>
      <w:r w:rsidRPr="00403196">
        <w:rPr>
          <w:sz w:val="28"/>
          <w:szCs w:val="28"/>
        </w:rPr>
        <w:t>повнота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креслень</w:t>
      </w:r>
      <w:proofErr w:type="spellEnd"/>
      <w:r w:rsidRPr="00403196">
        <w:rPr>
          <w:sz w:val="28"/>
          <w:szCs w:val="28"/>
        </w:rPr>
        <w:t xml:space="preserve">, схем і </w:t>
      </w:r>
      <w:proofErr w:type="spellStart"/>
      <w:r w:rsidRPr="00403196">
        <w:rPr>
          <w:sz w:val="28"/>
          <w:szCs w:val="28"/>
        </w:rPr>
        <w:t>пояснень</w:t>
      </w:r>
      <w:proofErr w:type="spellEnd"/>
      <w:r w:rsidRPr="0040319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Р</w:t>
      </w:r>
      <w:proofErr w:type="spellStart"/>
      <w:r w:rsidRPr="00403196">
        <w:rPr>
          <w:sz w:val="28"/>
          <w:szCs w:val="28"/>
        </w:rPr>
        <w:t>івень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сформованості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прийомів</w:t>
      </w:r>
      <w:proofErr w:type="spellEnd"/>
      <w:r w:rsidRPr="00403196">
        <w:rPr>
          <w:sz w:val="28"/>
          <w:szCs w:val="28"/>
        </w:rPr>
        <w:t xml:space="preserve"> і </w:t>
      </w:r>
      <w:proofErr w:type="spellStart"/>
      <w:r w:rsidRPr="00403196">
        <w:rPr>
          <w:sz w:val="28"/>
          <w:szCs w:val="28"/>
        </w:rPr>
        <w:t>навичок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під</w:t>
      </w:r>
      <w:proofErr w:type="spellEnd"/>
      <w:r w:rsidRPr="00403196">
        <w:rPr>
          <w:sz w:val="28"/>
          <w:szCs w:val="28"/>
        </w:rPr>
        <w:t xml:space="preserve"> час </w:t>
      </w:r>
      <w:proofErr w:type="spellStart"/>
      <w:r w:rsidRPr="00403196">
        <w:rPr>
          <w:sz w:val="28"/>
          <w:szCs w:val="28"/>
        </w:rPr>
        <w:t>виконання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практичних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робіт</w:t>
      </w:r>
      <w:proofErr w:type="spellEnd"/>
      <w:r w:rsidRPr="00403196">
        <w:rPr>
          <w:sz w:val="28"/>
          <w:szCs w:val="28"/>
        </w:rPr>
        <w:t>.</w:t>
      </w:r>
    </w:p>
    <w:p w14:paraId="79E30C86" w14:textId="77777777" w:rsidR="00403196" w:rsidRPr="00403196" w:rsidRDefault="00403196" w:rsidP="00403196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403196">
        <w:rPr>
          <w:b/>
          <w:bCs/>
          <w:sz w:val="28"/>
          <w:szCs w:val="28"/>
        </w:rPr>
        <w:t>Самостійність</w:t>
      </w:r>
      <w:proofErr w:type="spellEnd"/>
      <w:r w:rsidRPr="00403196">
        <w:rPr>
          <w:b/>
          <w:bCs/>
          <w:sz w:val="28"/>
          <w:szCs w:val="28"/>
        </w:rPr>
        <w:t xml:space="preserve"> та </w:t>
      </w:r>
      <w:proofErr w:type="spellStart"/>
      <w:r w:rsidRPr="00403196">
        <w:rPr>
          <w:b/>
          <w:bCs/>
          <w:sz w:val="28"/>
          <w:szCs w:val="28"/>
        </w:rPr>
        <w:t>логіка</w:t>
      </w:r>
      <w:proofErr w:type="spellEnd"/>
      <w:r w:rsidRPr="00403196">
        <w:rPr>
          <w:b/>
          <w:bCs/>
          <w:sz w:val="28"/>
          <w:szCs w:val="28"/>
        </w:rPr>
        <w:t xml:space="preserve"> </w:t>
      </w:r>
      <w:proofErr w:type="spellStart"/>
      <w:r w:rsidRPr="00403196">
        <w:rPr>
          <w:b/>
          <w:bCs/>
          <w:sz w:val="28"/>
          <w:szCs w:val="28"/>
        </w:rPr>
        <w:t>мислення</w:t>
      </w:r>
      <w:proofErr w:type="spellEnd"/>
      <w:r w:rsidRPr="00403196">
        <w:rPr>
          <w:sz w:val="28"/>
          <w:szCs w:val="28"/>
        </w:rPr>
        <w:t xml:space="preserve"> – </w:t>
      </w:r>
      <w:proofErr w:type="spellStart"/>
      <w:r w:rsidRPr="00403196">
        <w:rPr>
          <w:sz w:val="28"/>
          <w:szCs w:val="28"/>
        </w:rPr>
        <w:t>уміння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аргументувати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свої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рішення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робити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висновки</w:t>
      </w:r>
      <w:proofErr w:type="spellEnd"/>
      <w:r w:rsidRPr="00403196">
        <w:rPr>
          <w:sz w:val="28"/>
          <w:szCs w:val="28"/>
        </w:rPr>
        <w:t>.</w:t>
      </w:r>
    </w:p>
    <w:p w14:paraId="16646A37" w14:textId="77777777" w:rsidR="00403196" w:rsidRPr="00403196" w:rsidRDefault="00403196" w:rsidP="00403196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403196">
        <w:rPr>
          <w:b/>
          <w:bCs/>
          <w:sz w:val="28"/>
          <w:szCs w:val="28"/>
        </w:rPr>
        <w:t>Оформлення</w:t>
      </w:r>
      <w:proofErr w:type="spellEnd"/>
      <w:r w:rsidRPr="00403196">
        <w:rPr>
          <w:b/>
          <w:bCs/>
          <w:sz w:val="28"/>
          <w:szCs w:val="28"/>
        </w:rPr>
        <w:t xml:space="preserve"> </w:t>
      </w:r>
      <w:proofErr w:type="spellStart"/>
      <w:r w:rsidRPr="00403196">
        <w:rPr>
          <w:b/>
          <w:bCs/>
          <w:sz w:val="28"/>
          <w:szCs w:val="28"/>
        </w:rPr>
        <w:t>робіт</w:t>
      </w:r>
      <w:proofErr w:type="spellEnd"/>
      <w:r w:rsidRPr="00403196">
        <w:rPr>
          <w:sz w:val="28"/>
          <w:szCs w:val="28"/>
        </w:rPr>
        <w:t xml:space="preserve"> – </w:t>
      </w:r>
      <w:proofErr w:type="spellStart"/>
      <w:r w:rsidRPr="00403196">
        <w:rPr>
          <w:sz w:val="28"/>
          <w:szCs w:val="28"/>
        </w:rPr>
        <w:t>дотримання</w:t>
      </w:r>
      <w:proofErr w:type="spellEnd"/>
      <w:r w:rsidRPr="00403196">
        <w:rPr>
          <w:sz w:val="28"/>
          <w:szCs w:val="28"/>
        </w:rPr>
        <w:t xml:space="preserve"> </w:t>
      </w:r>
      <w:proofErr w:type="spellStart"/>
      <w:r w:rsidRPr="00403196">
        <w:rPr>
          <w:sz w:val="28"/>
          <w:szCs w:val="28"/>
        </w:rPr>
        <w:t>стандартів</w:t>
      </w:r>
      <w:proofErr w:type="spellEnd"/>
      <w:r w:rsidRPr="00403196">
        <w:rPr>
          <w:sz w:val="28"/>
          <w:szCs w:val="28"/>
        </w:rPr>
        <w:t xml:space="preserve"> (ДСТУ, ЄСКД), </w:t>
      </w:r>
      <w:proofErr w:type="spellStart"/>
      <w:r w:rsidRPr="00403196">
        <w:rPr>
          <w:sz w:val="28"/>
          <w:szCs w:val="28"/>
        </w:rPr>
        <w:t>точність</w:t>
      </w:r>
      <w:proofErr w:type="spellEnd"/>
      <w:r w:rsidRPr="00403196">
        <w:rPr>
          <w:sz w:val="28"/>
          <w:szCs w:val="28"/>
        </w:rPr>
        <w:t xml:space="preserve">, </w:t>
      </w:r>
      <w:proofErr w:type="spellStart"/>
      <w:r w:rsidRPr="00403196">
        <w:rPr>
          <w:sz w:val="28"/>
          <w:szCs w:val="28"/>
        </w:rPr>
        <w:t>акуратність</w:t>
      </w:r>
      <w:proofErr w:type="spellEnd"/>
      <w:r w:rsidRPr="00403196">
        <w:rPr>
          <w:sz w:val="28"/>
          <w:szCs w:val="28"/>
        </w:rPr>
        <w:t>.</w:t>
      </w:r>
    </w:p>
    <w:p w14:paraId="37C71814" w14:textId="6B1BFD62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t>Критерії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оцінювання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навчальних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досягнень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студентів</w:t>
      </w:r>
      <w:proofErr w:type="spellEnd"/>
    </w:p>
    <w:p w14:paraId="6BF38AA9" w14:textId="43AF0F16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t>Теоретичні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знання</w:t>
      </w:r>
      <w:proofErr w:type="spellEnd"/>
    </w:p>
    <w:p w14:paraId="15C28041" w14:textId="481D7E0D" w:rsidR="00D31E9C" w:rsidRDefault="00D31E9C" w:rsidP="00534537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03196" w14:paraId="5EF704ED" w14:textId="77777777" w:rsidTr="00403196">
        <w:tc>
          <w:tcPr>
            <w:tcW w:w="1069" w:type="dxa"/>
            <w:vAlign w:val="center"/>
          </w:tcPr>
          <w:p w14:paraId="3B42D9B4" w14:textId="77777777" w:rsidR="00403196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bookmarkStart w:id="0" w:name="_Hlk210114831"/>
          </w:p>
          <w:p w14:paraId="6DED0C30" w14:textId="145FD389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C3373A6" w14:textId="218C7C25" w:rsidR="00403196" w:rsidRPr="0048619E" w:rsidRDefault="0048619E" w:rsidP="0040319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3037925F" w14:textId="68EDF741" w:rsidR="00403196" w:rsidRPr="00534537" w:rsidRDefault="00403196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403196" w14:paraId="6D5A8325" w14:textId="77777777" w:rsidTr="00403196">
        <w:tc>
          <w:tcPr>
            <w:tcW w:w="1069" w:type="dxa"/>
            <w:vAlign w:val="center"/>
          </w:tcPr>
          <w:p w14:paraId="4584DDB3" w14:textId="03CD5CD3" w:rsidR="00403196" w:rsidRPr="0048619E" w:rsidRDefault="00403196" w:rsidP="0048619E">
            <w:pPr>
              <w:spacing w:line="276" w:lineRule="auto"/>
              <w:jc w:val="center"/>
              <w:rPr>
                <w:lang w:val="uk-UA"/>
              </w:rPr>
            </w:pPr>
            <w:r w:rsidRPr="0048619E">
              <w:rPr>
                <w:lang w:val="uk-UA"/>
              </w:rPr>
              <w:t>1-3</w:t>
            </w:r>
          </w:p>
        </w:tc>
        <w:tc>
          <w:tcPr>
            <w:tcW w:w="3629" w:type="dxa"/>
            <w:vAlign w:val="center"/>
          </w:tcPr>
          <w:p w14:paraId="6A652B83" w14:textId="0715C002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Початковий</w:t>
            </w:r>
            <w:proofErr w:type="spellEnd"/>
          </w:p>
        </w:tc>
        <w:tc>
          <w:tcPr>
            <w:tcW w:w="4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350"/>
            </w:tblGrid>
            <w:tr w:rsidR="00403196" w:rsidRPr="00403196" w14:paraId="7971C099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8ADA89" w14:textId="66CAA480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E6A52" w14:textId="77777777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Студент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демонструє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фрагментарні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окремих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понять з курсу «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Металеві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конструкції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»,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значні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труднощі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у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розумінні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матеріалу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Не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може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самостійно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завдання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навіть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з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допомогою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викладача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Приклади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розрахунків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та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креслень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з великою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кількістю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помилок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14:paraId="1BF6B4AE" w14:textId="77777777" w:rsidR="00403196" w:rsidRPr="00403196" w:rsidRDefault="00403196" w:rsidP="0048619E">
            <w:pPr>
              <w:suppressAutoHyphens w:val="0"/>
              <w:spacing w:line="276" w:lineRule="auto"/>
              <w:rPr>
                <w:rFonts w:eastAsia="Times New Roman" w:cs="Times New Roman"/>
                <w:vanish/>
                <w:color w:val="auto"/>
                <w:lang w:eastAsia="ru-RU"/>
              </w:rPr>
            </w:pPr>
          </w:p>
          <w:p w14:paraId="1B5956DA" w14:textId="77777777" w:rsidR="00403196" w:rsidRPr="00403196" w:rsidRDefault="00403196" w:rsidP="0048619E">
            <w:pPr>
              <w:suppressAutoHyphens w:val="0"/>
              <w:spacing w:line="276" w:lineRule="auto"/>
              <w:rPr>
                <w:rFonts w:eastAsia="Times New Roman" w:cs="Times New Roman"/>
                <w:vanish/>
                <w:color w:val="auto"/>
                <w:lang w:eastAsia="ru-RU"/>
              </w:rPr>
            </w:pPr>
          </w:p>
          <w:p w14:paraId="146E2665" w14:textId="77777777" w:rsidR="00403196" w:rsidRPr="00403196" w:rsidRDefault="00403196" w:rsidP="0048619E">
            <w:pPr>
              <w:suppressAutoHyphens w:val="0"/>
              <w:spacing w:line="276" w:lineRule="auto"/>
              <w:rPr>
                <w:rFonts w:eastAsia="Times New Roman" w:cs="Times New Roman"/>
                <w:vanish/>
                <w:color w:val="auto"/>
                <w:lang w:eastAsia="ru-RU"/>
              </w:rPr>
            </w:pPr>
          </w:p>
          <w:p w14:paraId="1081ED53" w14:textId="77777777" w:rsidR="00403196" w:rsidRPr="00403196" w:rsidRDefault="00403196" w:rsidP="0048619E">
            <w:pPr>
              <w:suppressAutoHyphens w:val="0"/>
              <w:spacing w:line="276" w:lineRule="auto"/>
              <w:rPr>
                <w:rFonts w:eastAsia="Times New Roman" w:cs="Times New Roman"/>
                <w:vanish/>
                <w:color w:val="auto"/>
                <w:lang w:eastAsia="ru-RU"/>
              </w:rPr>
            </w:pPr>
          </w:p>
          <w:p w14:paraId="0FD70F48" w14:textId="77777777" w:rsidR="00403196" w:rsidRPr="00403196" w:rsidRDefault="00403196" w:rsidP="0048619E">
            <w:pPr>
              <w:suppressAutoHyphens w:val="0"/>
              <w:spacing w:line="276" w:lineRule="auto"/>
              <w:rPr>
                <w:rFonts w:eastAsia="Times New Roman" w:cs="Times New Roman"/>
                <w:vanish/>
                <w:color w:val="auto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03196" w:rsidRPr="0048619E" w14:paraId="69D1998C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D95CFF" w14:textId="3001EC02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</w:p>
              </w:tc>
            </w:tr>
          </w:tbl>
          <w:p w14:paraId="153A018F" w14:textId="2CE86486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3196" w14:paraId="6BBF61CC" w14:textId="77777777" w:rsidTr="00403196">
        <w:tc>
          <w:tcPr>
            <w:tcW w:w="1069" w:type="dxa"/>
            <w:vAlign w:val="center"/>
          </w:tcPr>
          <w:p w14:paraId="77247724" w14:textId="795BBC69" w:rsidR="00403196" w:rsidRPr="0048619E" w:rsidRDefault="00403196" w:rsidP="0048619E">
            <w:pPr>
              <w:spacing w:line="276" w:lineRule="auto"/>
              <w:jc w:val="center"/>
            </w:pPr>
            <w:r w:rsidRPr="00403196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4–5</w:t>
            </w:r>
          </w:p>
        </w:tc>
        <w:tc>
          <w:tcPr>
            <w:tcW w:w="3629" w:type="dxa"/>
            <w:vAlign w:val="center"/>
          </w:tcPr>
          <w:tbl>
            <w:tblPr>
              <w:tblW w:w="0" w:type="auto"/>
              <w:tblCellSpacing w:w="15" w:type="dxa"/>
              <w:tblInd w:w="7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909"/>
            </w:tblGrid>
            <w:tr w:rsidR="00403196" w:rsidRPr="0048619E" w14:paraId="5C5CB5B0" w14:textId="77777777" w:rsidTr="00486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1D9F6" w14:textId="52DCBD6C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37F06" w14:textId="77777777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Середній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низький</w:t>
                  </w:r>
                  <w:proofErr w:type="spellEnd"/>
                </w:p>
              </w:tc>
            </w:tr>
          </w:tbl>
          <w:p w14:paraId="41FDD248" w14:textId="77777777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1"/>
            </w:tblGrid>
            <w:tr w:rsidR="00403196" w:rsidRPr="0048619E" w14:paraId="73A9A2A7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B7EA70" w14:textId="77777777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Студент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основні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поняття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і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терміни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але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робить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суттєві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помилки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у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їх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застосуванні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та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креслення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частково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або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з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помилками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що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впливають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на результат.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Завдання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lastRenderedPageBreak/>
                    <w:t>потребує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значних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пояснень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і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допомоги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викладача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14:paraId="4CFB9CE9" w14:textId="05E1C98D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3196" w14:paraId="3CC78E8C" w14:textId="77777777" w:rsidTr="00403196">
        <w:tc>
          <w:tcPr>
            <w:tcW w:w="1069" w:type="dxa"/>
            <w:vAlign w:val="center"/>
          </w:tcPr>
          <w:p w14:paraId="0097A606" w14:textId="6A21A635" w:rsidR="00403196" w:rsidRPr="0048619E" w:rsidRDefault="00403196" w:rsidP="0048619E">
            <w:pPr>
              <w:spacing w:line="276" w:lineRule="auto"/>
              <w:jc w:val="center"/>
              <w:rPr>
                <w:lang w:val="uk-UA"/>
              </w:rPr>
            </w:pPr>
            <w:r w:rsidRPr="00403196">
              <w:rPr>
                <w:rFonts w:eastAsia="Times New Roman" w:cs="Times New Roman"/>
                <w:b/>
                <w:bCs/>
                <w:color w:val="auto"/>
                <w:lang w:eastAsia="ru-RU"/>
              </w:rPr>
              <w:lastRenderedPageBreak/>
              <w:t>6–7</w:t>
            </w:r>
          </w:p>
        </w:tc>
        <w:tc>
          <w:tcPr>
            <w:tcW w:w="362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063"/>
            </w:tblGrid>
            <w:tr w:rsidR="00403196" w:rsidRPr="0048619E" w14:paraId="3D2CECB5" w14:textId="77777777" w:rsidTr="00403196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14:paraId="26A2E9DD" w14:textId="1DEEB850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2018" w:type="dxa"/>
                  <w:vAlign w:val="center"/>
                  <w:hideMark/>
                </w:tcPr>
                <w:p w14:paraId="52F286DF" w14:textId="77777777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Середній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достатній</w:t>
                  </w:r>
                  <w:proofErr w:type="spellEnd"/>
                </w:p>
              </w:tc>
            </w:tr>
          </w:tbl>
          <w:p w14:paraId="562FAE3D" w14:textId="77777777" w:rsidR="00403196" w:rsidRPr="0048619E" w:rsidRDefault="00403196" w:rsidP="0048619E">
            <w:pPr>
              <w:spacing w:line="276" w:lineRule="auto"/>
              <w:jc w:val="center"/>
            </w:pPr>
          </w:p>
        </w:tc>
        <w:tc>
          <w:tcPr>
            <w:tcW w:w="4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1"/>
            </w:tblGrid>
            <w:tr w:rsidR="00403196" w:rsidRPr="0048619E" w14:paraId="65B59DDD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3B6B9" w14:textId="77777777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Студент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розуміє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основні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теоретичні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положення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курсу,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може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типові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завдання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за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зразком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хоча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допускає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незначні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неточності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металевих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елементів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з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окремими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помилками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які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не є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критичними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Креслення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оформлені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правильно, але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мають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дрібні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недоліки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14:paraId="54C8F764" w14:textId="4178E681" w:rsidR="00403196" w:rsidRPr="0048619E" w:rsidRDefault="00403196" w:rsidP="0048619E">
            <w:pPr>
              <w:spacing w:line="276" w:lineRule="auto"/>
            </w:pPr>
          </w:p>
        </w:tc>
      </w:tr>
      <w:tr w:rsidR="00403196" w14:paraId="571E3F49" w14:textId="77777777" w:rsidTr="00403196">
        <w:tc>
          <w:tcPr>
            <w:tcW w:w="1069" w:type="dxa"/>
            <w:vAlign w:val="center"/>
          </w:tcPr>
          <w:p w14:paraId="0E93FB9E" w14:textId="5CEFB0F7" w:rsidR="00403196" w:rsidRPr="0048619E" w:rsidRDefault="00403196" w:rsidP="0048619E">
            <w:pPr>
              <w:spacing w:line="276" w:lineRule="auto"/>
              <w:jc w:val="center"/>
              <w:rPr>
                <w:lang w:val="uk-UA"/>
              </w:rPr>
            </w:pPr>
            <w:r w:rsidRPr="00403196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8–9</w:t>
            </w:r>
          </w:p>
        </w:tc>
        <w:tc>
          <w:tcPr>
            <w:tcW w:w="3629" w:type="dxa"/>
            <w:vAlign w:val="center"/>
          </w:tcPr>
          <w:tbl>
            <w:tblPr>
              <w:tblW w:w="0" w:type="auto"/>
              <w:tblCellSpacing w:w="15" w:type="dxa"/>
              <w:tblInd w:w="6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7"/>
            </w:tblGrid>
            <w:tr w:rsidR="00403196" w:rsidRPr="0048619E" w14:paraId="38477152" w14:textId="77777777" w:rsidTr="00486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ECDC08" w14:textId="7AB716B9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2190A" w14:textId="77777777" w:rsidR="00403196" w:rsidRPr="00403196" w:rsidRDefault="00403196" w:rsidP="0048619E">
                  <w:pPr>
                    <w:suppressAutoHyphens w:val="0"/>
                    <w:spacing w:line="276" w:lineRule="auto"/>
                    <w:jc w:val="center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Достатній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високий</w:t>
                  </w:r>
                  <w:proofErr w:type="spellEnd"/>
                </w:p>
              </w:tc>
            </w:tr>
          </w:tbl>
          <w:p w14:paraId="6AD6C54D" w14:textId="77777777" w:rsidR="00403196" w:rsidRPr="0048619E" w:rsidRDefault="00403196" w:rsidP="0048619E">
            <w:pPr>
              <w:spacing w:line="276" w:lineRule="auto"/>
              <w:jc w:val="center"/>
            </w:pPr>
          </w:p>
        </w:tc>
        <w:tc>
          <w:tcPr>
            <w:tcW w:w="4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1"/>
            </w:tblGrid>
            <w:tr w:rsidR="00403196" w:rsidRPr="0048619E" w14:paraId="3DC92B15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CE636D" w14:textId="77777777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Студент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володіє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навчальним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матеріалом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на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достатньому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рівні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вміє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застосовувати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при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виконанні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розрахунків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і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проектуванні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конструкцій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Самостійно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завдання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середньої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складності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аргументує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вибір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розрахункових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схем та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матеріалів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Креслення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оформлені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відповідно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до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стандартів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14:paraId="5E289D0F" w14:textId="7E3C5005" w:rsidR="00403196" w:rsidRPr="0048619E" w:rsidRDefault="00403196" w:rsidP="0048619E">
            <w:pPr>
              <w:spacing w:line="276" w:lineRule="auto"/>
            </w:pPr>
          </w:p>
        </w:tc>
      </w:tr>
      <w:tr w:rsidR="00403196" w14:paraId="3053304E" w14:textId="77777777" w:rsidTr="00403196">
        <w:tc>
          <w:tcPr>
            <w:tcW w:w="1069" w:type="dxa"/>
            <w:vAlign w:val="center"/>
          </w:tcPr>
          <w:p w14:paraId="4BE8F584" w14:textId="0317D3D8" w:rsidR="00403196" w:rsidRPr="0048619E" w:rsidRDefault="00403196" w:rsidP="0048619E">
            <w:pPr>
              <w:spacing w:line="276" w:lineRule="auto"/>
              <w:jc w:val="center"/>
              <w:rPr>
                <w:lang w:val="uk-UA"/>
              </w:rPr>
            </w:pPr>
            <w:r w:rsidRPr="00403196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10–11</w:t>
            </w:r>
          </w:p>
        </w:tc>
        <w:tc>
          <w:tcPr>
            <w:tcW w:w="3629" w:type="dxa"/>
            <w:vAlign w:val="center"/>
          </w:tcPr>
          <w:p w14:paraId="03776B84" w14:textId="1E6333E0" w:rsidR="00403196" w:rsidRPr="0048619E" w:rsidRDefault="00403196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color w:val="auto"/>
                <w:lang w:val="uk-UA" w:eastAsia="ru-RU"/>
              </w:rPr>
              <w:t>В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исокий</w:t>
            </w:r>
            <w:proofErr w:type="spellEnd"/>
          </w:p>
        </w:tc>
        <w:tc>
          <w:tcPr>
            <w:tcW w:w="46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1"/>
            </w:tblGrid>
            <w:tr w:rsidR="00403196" w:rsidRPr="0048619E" w14:paraId="125AF733" w14:textId="77777777" w:rsidTr="004031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F886E0" w14:textId="77777777" w:rsidR="00403196" w:rsidRPr="00403196" w:rsidRDefault="00403196" w:rsidP="0048619E">
                  <w:pPr>
                    <w:suppressAutoHyphens w:val="0"/>
                    <w:spacing w:line="276" w:lineRule="auto"/>
                    <w:rPr>
                      <w:rFonts w:eastAsia="Times New Roman" w:cs="Times New Roman"/>
                      <w:color w:val="auto"/>
                      <w:lang w:eastAsia="ru-RU"/>
                    </w:rPr>
                  </w:pPr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Студент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має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глибокі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знання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теорії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та практики,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вільно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оперує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термінами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розуміє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взаємозв’язок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між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елементами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конструкцій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Уміє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самостійно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виконувати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складні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розрахунки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та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проектні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завдання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аналізувати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різні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варіанти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рішень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.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Роботи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виконані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акуратно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,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логічно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 xml:space="preserve"> </w:t>
                  </w:r>
                  <w:proofErr w:type="spellStart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обґрунтовані</w:t>
                  </w:r>
                  <w:proofErr w:type="spellEnd"/>
                  <w:r w:rsidRPr="00403196">
                    <w:rPr>
                      <w:rFonts w:eastAsia="Times New Roman" w:cs="Times New Roman"/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14:paraId="431FA6EA" w14:textId="4C5C13FB" w:rsidR="00403196" w:rsidRPr="0048619E" w:rsidRDefault="00403196" w:rsidP="0048619E">
            <w:pPr>
              <w:spacing w:line="276" w:lineRule="auto"/>
            </w:pPr>
          </w:p>
        </w:tc>
      </w:tr>
      <w:tr w:rsidR="00403196" w14:paraId="3A8D9EDD" w14:textId="77777777" w:rsidTr="00403196">
        <w:tc>
          <w:tcPr>
            <w:tcW w:w="1069" w:type="dxa"/>
            <w:vAlign w:val="center"/>
          </w:tcPr>
          <w:p w14:paraId="5B1628B9" w14:textId="6B0C4A47" w:rsidR="00403196" w:rsidRPr="0048619E" w:rsidRDefault="00403196" w:rsidP="0048619E">
            <w:pPr>
              <w:spacing w:line="276" w:lineRule="auto"/>
              <w:jc w:val="center"/>
            </w:pPr>
            <w:r w:rsidRPr="00403196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7CF441E7" w14:textId="44111125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Відмінний</w:t>
            </w:r>
            <w:proofErr w:type="spellEnd"/>
          </w:p>
        </w:tc>
        <w:tc>
          <w:tcPr>
            <w:tcW w:w="4647" w:type="dxa"/>
          </w:tcPr>
          <w:p w14:paraId="7C2535CB" w14:textId="54C7C737" w:rsidR="00403196" w:rsidRPr="0048619E" w:rsidRDefault="00403196" w:rsidP="0048619E">
            <w:pPr>
              <w:spacing w:line="276" w:lineRule="auto"/>
              <w:jc w:val="center"/>
              <w:rPr>
                <w:b/>
                <w:bCs/>
              </w:rPr>
            </w:pPr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Студент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демонструє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системні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здатний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творчо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застосовувати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їх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нестандартних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ситуаціях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.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Вільно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розрахунки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будь-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якої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складності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робить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висновки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пропонує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інженерні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рішення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.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Креслення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проєктна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документація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бездоганні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відповідають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03196">
              <w:rPr>
                <w:rFonts w:eastAsia="Times New Roman" w:cs="Times New Roman"/>
                <w:color w:val="auto"/>
                <w:lang w:eastAsia="ru-RU"/>
              </w:rPr>
              <w:t>професійним</w:t>
            </w:r>
            <w:proofErr w:type="spellEnd"/>
            <w:r w:rsidRPr="00403196">
              <w:rPr>
                <w:rFonts w:eastAsia="Times New Roman" w:cs="Times New Roman"/>
                <w:color w:val="auto"/>
                <w:lang w:eastAsia="ru-RU"/>
              </w:rPr>
              <w:t xml:space="preserve"> стандартам.</w:t>
            </w:r>
          </w:p>
        </w:tc>
      </w:tr>
      <w:bookmarkEnd w:id="0"/>
    </w:tbl>
    <w:p w14:paraId="3C0CA722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E01D208" w14:textId="2BD47F1B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21CF4DF" w14:textId="1159B9F2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619F6163" w14:textId="3A67EEC1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403F2925" w14:textId="521A51C6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56BFF0E5" w14:textId="1C896479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5DE04348" w14:textId="7F820C60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3B21BC4E" w14:textId="77777777" w:rsidR="0048619E" w:rsidRP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045F5177" w14:textId="5F9845C8" w:rsidR="0048619E" w:rsidRDefault="0048619E" w:rsidP="0048619E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Практичні</w:t>
      </w:r>
      <w:proofErr w:type="spellEnd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навички</w:t>
      </w:r>
      <w:proofErr w:type="spellEnd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(</w:t>
      </w:r>
      <w:proofErr w:type="spellStart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розрахунки</w:t>
      </w:r>
      <w:proofErr w:type="spellEnd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, </w:t>
      </w:r>
      <w:proofErr w:type="spellStart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креслення</w:t>
      </w:r>
      <w:proofErr w:type="spellEnd"/>
      <w:r w:rsidRPr="0048619E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, робота з нормативами)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8619E" w14:paraId="46CCE1A1" w14:textId="77777777" w:rsidTr="00B11E13">
        <w:tc>
          <w:tcPr>
            <w:tcW w:w="1069" w:type="dxa"/>
            <w:vAlign w:val="center"/>
          </w:tcPr>
          <w:p w14:paraId="2D5C0C01" w14:textId="77777777" w:rsidR="0048619E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bookmarkStart w:id="1" w:name="_Hlk210115309"/>
          </w:p>
          <w:p w14:paraId="3F454832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5FEF8B17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3B7E4E6" w14:textId="77777777" w:rsidR="0048619E" w:rsidRPr="0048619E" w:rsidRDefault="0048619E" w:rsidP="00B11E1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40D5027A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48619E" w14:paraId="59DF3C52" w14:textId="77777777" w:rsidTr="00D87EFF">
        <w:tc>
          <w:tcPr>
            <w:tcW w:w="1069" w:type="dxa"/>
            <w:vAlign w:val="center"/>
          </w:tcPr>
          <w:p w14:paraId="3CF8B920" w14:textId="48270E2D" w:rsidR="0048619E" w:rsidRPr="0048619E" w:rsidRDefault="0048619E" w:rsidP="0048619E">
            <w:pPr>
              <w:spacing w:line="276" w:lineRule="auto"/>
              <w:jc w:val="center"/>
              <w:rPr>
                <w:lang w:val="uk-UA"/>
              </w:rPr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1–3</w:t>
            </w:r>
          </w:p>
        </w:tc>
        <w:tc>
          <w:tcPr>
            <w:tcW w:w="3629" w:type="dxa"/>
            <w:vAlign w:val="center"/>
          </w:tcPr>
          <w:p w14:paraId="2CE2E016" w14:textId="1D57B814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2A7B5E59" w14:textId="493DA80A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неправильно.</w:t>
            </w:r>
          </w:p>
        </w:tc>
      </w:tr>
      <w:tr w:rsidR="0048619E" w14:paraId="7902F824" w14:textId="77777777" w:rsidTr="00634997">
        <w:tc>
          <w:tcPr>
            <w:tcW w:w="1069" w:type="dxa"/>
            <w:vAlign w:val="center"/>
          </w:tcPr>
          <w:p w14:paraId="6419F446" w14:textId="62318E86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</w:t>
            </w:r>
          </w:p>
        </w:tc>
        <w:tc>
          <w:tcPr>
            <w:tcW w:w="3629" w:type="dxa"/>
            <w:vAlign w:val="center"/>
          </w:tcPr>
          <w:p w14:paraId="407EE104" w14:textId="165D1661" w:rsidR="0048619E" w:rsidRPr="0048619E" w:rsidRDefault="00255B6F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84F65D8" w14:textId="7C34DC73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Робота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виконана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формально, без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розуміння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суті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29AA9AAE" w14:textId="77777777" w:rsidTr="00BD1CE9">
        <w:tc>
          <w:tcPr>
            <w:tcW w:w="1069" w:type="dxa"/>
            <w:vAlign w:val="center"/>
          </w:tcPr>
          <w:p w14:paraId="01F673C5" w14:textId="5220BF1D" w:rsidR="0048619E" w:rsidRPr="0048619E" w:rsidRDefault="0048619E" w:rsidP="0048619E">
            <w:pPr>
              <w:spacing w:line="276" w:lineRule="auto"/>
              <w:jc w:val="center"/>
              <w:rPr>
                <w:lang w:val="uk-UA"/>
              </w:rPr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5</w:t>
            </w:r>
          </w:p>
        </w:tc>
        <w:tc>
          <w:tcPr>
            <w:tcW w:w="3629" w:type="dxa"/>
            <w:vAlign w:val="center"/>
          </w:tcPr>
          <w:p w14:paraId="2DA02EEA" w14:textId="447B0A4E" w:rsidR="0048619E" w:rsidRPr="0048619E" w:rsidRDefault="00255B6F" w:rsidP="0048619E">
            <w:pPr>
              <w:spacing w:line="276" w:lineRule="auto"/>
              <w:jc w:val="center"/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64339366" w14:textId="28906943" w:rsidR="0048619E" w:rsidRPr="0048619E" w:rsidRDefault="0048619E" w:rsidP="0048619E">
            <w:pPr>
              <w:spacing w:line="276" w:lineRule="auto"/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менш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ніж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наполовину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з великою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кількістю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помилок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7E2D8BFB" w14:textId="77777777" w:rsidTr="0024742B">
        <w:tc>
          <w:tcPr>
            <w:tcW w:w="1069" w:type="dxa"/>
            <w:vAlign w:val="center"/>
          </w:tcPr>
          <w:p w14:paraId="10FCCAE6" w14:textId="67862450" w:rsidR="0048619E" w:rsidRPr="0048619E" w:rsidRDefault="0048619E" w:rsidP="0048619E">
            <w:pPr>
              <w:spacing w:line="276" w:lineRule="auto"/>
              <w:jc w:val="center"/>
              <w:rPr>
                <w:lang w:val="uk-UA"/>
              </w:rPr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65A2550D" w14:textId="202BF133" w:rsidR="0048619E" w:rsidRPr="0048619E" w:rsidRDefault="0048619E" w:rsidP="0048619E">
            <w:pPr>
              <w:spacing w:line="276" w:lineRule="auto"/>
              <w:jc w:val="center"/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038AC829" w14:textId="50D0E6BA" w:rsidR="0048619E" w:rsidRPr="0048619E" w:rsidRDefault="0048619E" w:rsidP="0048619E">
            <w:pPr>
              <w:spacing w:line="276" w:lineRule="auto"/>
            </w:pPr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Робота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містить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суттєві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виправлені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допомогою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681DF0D5" w14:textId="77777777" w:rsidTr="004854F5">
        <w:tc>
          <w:tcPr>
            <w:tcW w:w="1069" w:type="dxa"/>
            <w:vAlign w:val="center"/>
          </w:tcPr>
          <w:p w14:paraId="34601A24" w14:textId="087335A0" w:rsidR="0048619E" w:rsidRPr="0048619E" w:rsidRDefault="0048619E" w:rsidP="0048619E">
            <w:pPr>
              <w:spacing w:line="276" w:lineRule="auto"/>
              <w:jc w:val="center"/>
              <w:rPr>
                <w:lang w:val="uk-UA"/>
              </w:rPr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7</w:t>
            </w:r>
          </w:p>
        </w:tc>
        <w:tc>
          <w:tcPr>
            <w:tcW w:w="3629" w:type="dxa"/>
            <w:vAlign w:val="center"/>
          </w:tcPr>
          <w:p w14:paraId="65D79797" w14:textId="7FFCCA20" w:rsidR="0048619E" w:rsidRPr="0048619E" w:rsidRDefault="00255B6F" w:rsidP="0048619E">
            <w:pPr>
              <w:spacing w:line="276" w:lineRule="auto"/>
              <w:jc w:val="center"/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508A63A7" w14:textId="24DFB9F0" w:rsidR="0048619E" w:rsidRPr="0048619E" w:rsidRDefault="0048619E" w:rsidP="0048619E">
            <w:pPr>
              <w:spacing w:line="276" w:lineRule="auto"/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без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глибокого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розуміння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послідовності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дій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4402E88D" w14:textId="77777777" w:rsidTr="007130C7">
        <w:tc>
          <w:tcPr>
            <w:tcW w:w="1069" w:type="dxa"/>
            <w:vAlign w:val="center"/>
          </w:tcPr>
          <w:p w14:paraId="5FACFC2F" w14:textId="7DFE74A9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</w:t>
            </w:r>
          </w:p>
        </w:tc>
        <w:tc>
          <w:tcPr>
            <w:tcW w:w="3629" w:type="dxa"/>
            <w:vAlign w:val="center"/>
          </w:tcPr>
          <w:p w14:paraId="0A538AFE" w14:textId="14731747" w:rsidR="0048619E" w:rsidRPr="0048619E" w:rsidRDefault="00255B6F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207E5AD" w14:textId="7C701EAB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Основні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етапи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правильно, але є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розрахунках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чи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кресленні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3E906EA6" w14:textId="77777777" w:rsidTr="003706FD">
        <w:tc>
          <w:tcPr>
            <w:tcW w:w="1069" w:type="dxa"/>
            <w:vAlign w:val="center"/>
          </w:tcPr>
          <w:p w14:paraId="2AFB575C" w14:textId="51BB5699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9</w:t>
            </w:r>
          </w:p>
        </w:tc>
        <w:tc>
          <w:tcPr>
            <w:tcW w:w="3629" w:type="dxa"/>
            <w:vAlign w:val="center"/>
          </w:tcPr>
          <w:p w14:paraId="0753374C" w14:textId="1AF61D2D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1E7D0E0B" w14:textId="6ECA08E8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проте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допомогою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48619E" w14:paraId="72033B2D" w14:textId="77777777" w:rsidTr="007002FA">
        <w:tc>
          <w:tcPr>
            <w:tcW w:w="1069" w:type="dxa"/>
            <w:vAlign w:val="center"/>
          </w:tcPr>
          <w:p w14:paraId="0BCFBE6D" w14:textId="70000374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</w:t>
            </w:r>
          </w:p>
        </w:tc>
        <w:tc>
          <w:tcPr>
            <w:tcW w:w="3629" w:type="dxa"/>
            <w:vAlign w:val="center"/>
          </w:tcPr>
          <w:p w14:paraId="3BC9240E" w14:textId="0382E212" w:rsidR="0048619E" w:rsidRPr="0048619E" w:rsidRDefault="00255B6F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2E78F95D" w14:textId="227F608C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Практичні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роботи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правильно, але 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окремими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помилками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впливають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кінцевий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результат.</w:t>
            </w:r>
          </w:p>
        </w:tc>
      </w:tr>
      <w:tr w:rsidR="0048619E" w14:paraId="20556D0A" w14:textId="77777777" w:rsidTr="00525C5A">
        <w:tc>
          <w:tcPr>
            <w:tcW w:w="1069" w:type="dxa"/>
            <w:vAlign w:val="center"/>
          </w:tcPr>
          <w:p w14:paraId="764627CF" w14:textId="28C34526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11</w:t>
            </w:r>
          </w:p>
        </w:tc>
        <w:tc>
          <w:tcPr>
            <w:tcW w:w="3629" w:type="dxa"/>
            <w:vAlign w:val="center"/>
          </w:tcPr>
          <w:p w14:paraId="7C7235A5" w14:textId="66407D79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480E81D" w14:textId="531A6D69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повністю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з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незначними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неточностями у деталях.</w:t>
            </w:r>
          </w:p>
        </w:tc>
      </w:tr>
      <w:tr w:rsidR="0048619E" w14:paraId="40D09AF8" w14:textId="77777777" w:rsidTr="0057635D">
        <w:tc>
          <w:tcPr>
            <w:tcW w:w="1069" w:type="dxa"/>
            <w:vAlign w:val="center"/>
          </w:tcPr>
          <w:p w14:paraId="4A841764" w14:textId="379BAC1B" w:rsidR="0048619E" w:rsidRPr="0048619E" w:rsidRDefault="0048619E" w:rsidP="0048619E">
            <w:pPr>
              <w:spacing w:line="276" w:lineRule="auto"/>
              <w:jc w:val="center"/>
            </w:pPr>
            <w:r w:rsidRPr="0048619E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48823A88" w14:textId="6A266085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70C6021" w14:textId="5D51D0EA" w:rsidR="0048619E" w:rsidRPr="0048619E" w:rsidRDefault="0048619E" w:rsidP="0048619E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Розрахунки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виконані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правильно та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обґрунтовано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креслення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–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чіткі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відповідні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стандартам, студент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застосовує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норми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довідкові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48619E">
              <w:rPr>
                <w:rFonts w:eastAsia="Times New Roman" w:cs="Times New Roman"/>
                <w:color w:val="auto"/>
                <w:lang w:eastAsia="ru-RU"/>
              </w:rPr>
              <w:t>матеріали</w:t>
            </w:r>
            <w:proofErr w:type="spellEnd"/>
            <w:r w:rsidRPr="0048619E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bookmarkEnd w:id="1"/>
    </w:tbl>
    <w:p w14:paraId="2858EA0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D4F9B21" w14:textId="49B99B29" w:rsidR="00BF3198" w:rsidRPr="00255B6F" w:rsidRDefault="00255B6F" w:rsidP="00255B6F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Самостійна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робота,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активність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і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професійні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компетентності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255B6F" w:rsidRPr="00255B6F" w14:paraId="74B0B925" w14:textId="77777777" w:rsidTr="00B034B3">
        <w:tc>
          <w:tcPr>
            <w:tcW w:w="1069" w:type="dxa"/>
            <w:vAlign w:val="center"/>
          </w:tcPr>
          <w:p w14:paraId="59B5E0DC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803030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БАЛИ</w:t>
            </w:r>
          </w:p>
          <w:p w14:paraId="1DC57A3B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14:paraId="3BEEE647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5704F826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КРИТЕРІЇ ОЦІНЮВАННЯ НАВЧАЛЬНИХ ДОСЯГНЕНЬ СТУДЕНТІВ</w:t>
            </w:r>
          </w:p>
        </w:tc>
      </w:tr>
      <w:tr w:rsidR="00255B6F" w:rsidRPr="00255B6F" w14:paraId="2BE8BE97" w14:textId="77777777" w:rsidTr="00B034B3">
        <w:tc>
          <w:tcPr>
            <w:tcW w:w="1069" w:type="dxa"/>
            <w:vAlign w:val="center"/>
          </w:tcPr>
          <w:p w14:paraId="48605BCF" w14:textId="3E54494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3</w:t>
            </w:r>
          </w:p>
        </w:tc>
        <w:tc>
          <w:tcPr>
            <w:tcW w:w="3629" w:type="dxa"/>
            <w:vAlign w:val="center"/>
          </w:tcPr>
          <w:p w14:paraId="33AEF65B" w14:textId="57362928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5A2DD8F3" w14:textId="53D5D772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заняттях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A81B85E" w14:textId="77777777" w:rsidTr="00B034B3">
        <w:tc>
          <w:tcPr>
            <w:tcW w:w="1069" w:type="dxa"/>
            <w:vAlign w:val="center"/>
          </w:tcPr>
          <w:p w14:paraId="1AE4784E" w14:textId="5089B214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4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49E80CD2" w14:textId="566F82B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Початковий</w:t>
            </w:r>
            <w:proofErr w:type="spellEnd"/>
          </w:p>
        </w:tc>
        <w:tc>
          <w:tcPr>
            <w:tcW w:w="4647" w:type="dxa"/>
            <w:vAlign w:val="center"/>
          </w:tcPr>
          <w:p w14:paraId="6640AEE0" w14:textId="0EF6CDE0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виконуються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запізненням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низька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168A029F" w14:textId="77777777" w:rsidTr="00B034B3">
        <w:tc>
          <w:tcPr>
            <w:tcW w:w="1069" w:type="dxa"/>
            <w:vAlign w:val="center"/>
          </w:tcPr>
          <w:p w14:paraId="3D8AC4B1" w14:textId="7CE5B09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7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–9</w:t>
            </w:r>
          </w:p>
        </w:tc>
        <w:tc>
          <w:tcPr>
            <w:tcW w:w="3629" w:type="dxa"/>
            <w:vAlign w:val="center"/>
          </w:tcPr>
          <w:p w14:paraId="0FA88C47" w14:textId="507BAAF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01A2854" w14:textId="335B829A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потребує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доопрацювання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6D7EF9E" w14:textId="77777777" w:rsidTr="00B034B3">
        <w:tc>
          <w:tcPr>
            <w:tcW w:w="1069" w:type="dxa"/>
            <w:vAlign w:val="center"/>
          </w:tcPr>
          <w:p w14:paraId="47935B03" w14:textId="7577149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10–11</w:t>
            </w:r>
          </w:p>
        </w:tc>
        <w:tc>
          <w:tcPr>
            <w:tcW w:w="3629" w:type="dxa"/>
            <w:vAlign w:val="center"/>
          </w:tcPr>
          <w:p w14:paraId="7B176657" w14:textId="745DEB20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BBE1928" w14:textId="521217A5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вчасно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студент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71578F53" w14:textId="77777777" w:rsidTr="00B034B3">
        <w:tc>
          <w:tcPr>
            <w:tcW w:w="1069" w:type="dxa"/>
            <w:vAlign w:val="center"/>
          </w:tcPr>
          <w:p w14:paraId="3510634E" w14:textId="1AEC137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50BE782F" w14:textId="6DB475CE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36157C8A" w14:textId="3F18400B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регулярне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виконання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самостійних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завдань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участь у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проєктах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вміння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аналізувати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пропонувати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рішення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</w:tbl>
    <w:p w14:paraId="32F445D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695D35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80CB091" w14:textId="60283AEC" w:rsidR="00BF3198" w:rsidRPr="00922D11" w:rsidRDefault="00BF3198" w:rsidP="00BF3198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43AE0A61" w14:textId="06D11318" w:rsidR="00BF3198" w:rsidRPr="00922D11" w:rsidRDefault="00BF3198" w:rsidP="00BF3198">
      <w:pPr>
        <w:shd w:val="clear" w:color="auto" w:fill="FFFFFF"/>
        <w:suppressAutoHyphens w:val="0"/>
        <w:rPr>
          <w:rFonts w:eastAsia="Times New Roman" w:cs="Times New Roman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243EBF4A" w14:textId="77777777" w:rsidR="00BF3198" w:rsidRPr="00922D11" w:rsidRDefault="00BF3198" w:rsidP="00BF3198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3344BF" w:rsidRPr="00922D11" w14:paraId="56013722" w14:textId="77777777" w:rsidTr="003344BF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C8CC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3344BF" w:rsidRPr="00922D11" w14:paraId="0E0B6E9F" w14:textId="77777777" w:rsidTr="003344BF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65C4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6C914" w14:textId="77777777" w:rsidR="003344BF" w:rsidRPr="00922D11" w:rsidRDefault="003344BF" w:rsidP="00CC626A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CB292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3344BF" w:rsidRPr="00922D11" w14:paraId="2B698A28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9B65A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58F83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31DF4EE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5EE21A14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230F534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1DFA6E6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3344BF" w:rsidRPr="00922D11" w14:paraId="488B4C3D" w14:textId="77777777" w:rsidTr="003344BF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42FF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0CDC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EB7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2D48626F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FF88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0979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F0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CDF74E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9F87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EE6C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D12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6F8CF5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870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7A5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A1D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590F3C06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AC3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725B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60A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3344BF" w:rsidRPr="00922D11" w14:paraId="77EA8498" w14:textId="77777777" w:rsidTr="003344BF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8DB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745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1D7A4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7AEDA923" w14:textId="77777777" w:rsidR="00BF3198" w:rsidRPr="003D08F7" w:rsidRDefault="00BF3198" w:rsidP="00BF3198">
      <w:pPr>
        <w:spacing w:line="360" w:lineRule="auto"/>
        <w:ind w:firstLine="426"/>
        <w:rPr>
          <w:sz w:val="28"/>
          <w:szCs w:val="28"/>
        </w:rPr>
      </w:pPr>
    </w:p>
    <w:p w14:paraId="4CA76C4E" w14:textId="591B09FF" w:rsidR="00534537" w:rsidRPr="00557525" w:rsidRDefault="00557525" w:rsidP="00534537">
      <w:pPr>
        <w:spacing w:line="360" w:lineRule="auto"/>
        <w:rPr>
          <w:sz w:val="28"/>
          <w:szCs w:val="28"/>
          <w:lang w:val="uk-UA"/>
        </w:rPr>
      </w:pPr>
      <w:bookmarkStart w:id="2" w:name="_GoBack"/>
      <w:r w:rsidRPr="00557525">
        <w:rPr>
          <w:sz w:val="28"/>
          <w:szCs w:val="28"/>
          <w:lang w:val="uk-UA"/>
        </w:rPr>
        <w:t>Викладач Олег ЛИСЕНКО</w:t>
      </w:r>
      <w:bookmarkEnd w:id="2"/>
    </w:p>
    <w:sectPr w:rsidR="00534537" w:rsidRPr="0055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4EF8"/>
    <w:multiLevelType w:val="multilevel"/>
    <w:tmpl w:val="7A5E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512F8"/>
    <w:multiLevelType w:val="multilevel"/>
    <w:tmpl w:val="DB6A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92DAE"/>
    <w:multiLevelType w:val="hybridMultilevel"/>
    <w:tmpl w:val="6C34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E02BC"/>
    <w:multiLevelType w:val="multilevel"/>
    <w:tmpl w:val="47C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255B6F"/>
    <w:rsid w:val="003344BF"/>
    <w:rsid w:val="00403196"/>
    <w:rsid w:val="0048619E"/>
    <w:rsid w:val="00534537"/>
    <w:rsid w:val="00557525"/>
    <w:rsid w:val="00A67932"/>
    <w:rsid w:val="00BF3198"/>
    <w:rsid w:val="00D22612"/>
    <w:rsid w:val="00D31E9C"/>
    <w:rsid w:val="00EC0ABB"/>
    <w:rsid w:val="00E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031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3868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6</cp:revision>
  <dcterms:created xsi:type="dcterms:W3CDTF">2025-09-30T05:58:00Z</dcterms:created>
  <dcterms:modified xsi:type="dcterms:W3CDTF">2025-09-30T14:11:00Z</dcterms:modified>
</cp:coreProperties>
</file>